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B42318"/>
          <w:sz w:val="28"/>
          <w:szCs w:val="28"/>
        </w:rPr>
        <w:t xml:space="preserve">SYNTHETIC DEMONSTRATION ONLY</w:t>
      </w:r>
    </w:p>
    <w:p>
      <w:pPr>
        <w:pStyle w:val="Title"/>
        <w:jc w:val="center"/>
      </w:pPr>
      <w:r>
        <w:t xml:space="preserve">Corrective Action Plan — Review-ready draft</w:t>
      </w:r>
    </w:p>
    <w:p>
      <w:pPr>
        <w:jc w:val="center"/>
      </w:pPr>
      <w:r>
        <w:t xml:space="preserve">Not submitted to, approved by, or certified for the United States Government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8%"/>
          </w:tcPr>
          <w:p>
            <w:r>
              <w:rPr>
                <w:b/>
                <w:bCs/>
              </w:rPr>
              <w:t xml:space="preserve">Program</w:t>
            </w:r>
          </w:p>
        </w:tc>
        <w:tc>
          <w:tcPr>
            <w:tcW w:type="pct" w:w="72%"/>
          </w:tcPr>
          <w:p>
            <w:r>
              <w:t xml:space="preserve">Falcon Control Modernization</w:t>
            </w:r>
          </w:p>
        </w:tc>
      </w:tr>
      <w:tr>
        <w:tc>
          <w:tcPr>
            <w:tcW w:type="pct" w:w="28%"/>
          </w:tcPr>
          <w:p>
            <w:r>
              <w:rPr>
                <w:b/>
                <w:bCs/>
              </w:rPr>
              <w:t xml:space="preserve">Contract</w:t>
            </w:r>
          </w:p>
        </w:tc>
        <w:tc>
          <w:tcPr>
            <w:tcW w:type="pct" w:w="72%"/>
          </w:tcPr>
          <w:p>
            <w:r>
              <w:t xml:space="preserve">W91XYZ-27-C-0042</w:t>
            </w:r>
          </w:p>
        </w:tc>
      </w:tr>
      <w:tr>
        <w:tc>
          <w:tcPr>
            <w:tcW w:type="pct" w:w="28%"/>
          </w:tcPr>
          <w:p>
            <w:r>
              <w:rPr>
                <w:b/>
                <w:bCs/>
              </w:rPr>
              <w:t xml:space="preserve">Source snapshot</w:t>
            </w:r>
          </w:p>
        </w:tc>
        <w:tc>
          <w:tcPr>
            <w:tcW w:type="pct" w:w="72%"/>
          </w:tcPr>
          <w:p>
            <w:r>
              <w:t xml:space="preserve">snapshot_mx12_20260727_001</w:t>
            </w:r>
          </w:p>
        </w:tc>
      </w:tr>
      <w:tr>
        <w:tc>
          <w:tcPr>
            <w:tcW w:type="pct" w:w="28%"/>
          </w:tcPr>
          <w:p>
            <w:r>
              <w:rPr>
                <w:b/>
                <w:bCs/>
              </w:rPr>
              <w:t xml:space="preserve">Policy evaluation</w:t>
            </w:r>
          </w:p>
        </w:tc>
        <w:tc>
          <w:tcPr>
            <w:tcW w:type="pct" w:w="72%"/>
          </w:tcPr>
          <w:p>
            <w:r>
              <w:t xml:space="preserve">dfars-252.225-7052@2026-07-27</w:t>
            </w:r>
          </w:p>
        </w:tc>
      </w:tr>
    </w:tbl>
    <w:p>
      <w:pPr>
        <w:pStyle w:val="Heading1"/>
      </w:pPr>
      <w:r>
        <w:t xml:space="preserve">Significant supply-chain risk</w:t>
      </w:r>
    </w:p>
    <w:p>
      <w:r>
        <w:t xml:space="preserve">Covered-country process is restricted</w:t>
      </w:r>
    </w:p>
    <w:p>
      <w:pPr>
        <w:pStyle w:val="Heading2"/>
      </w:pPr>
      <w:r>
        <w:t xml:space="preserve">Evidence-backed cause</w:t>
      </w:r>
    </w:p>
    <w:p>
      <w:r>
        <w:t xml:space="preserve">Is the material covered?: ndfeb_magnet is covered.
Does the delivery invoke full-chain restrictions?: Delivery is on or after January 1, 2027.
Is a relevant process tied to a covered country?: separation at Baotou Facility 2 — Synthetic (CN); refining at Baotou Facility 2 — Synthetic (CN)
Does an unqualified alternative clear the finding?: An alternative exists but remains unqualified.
Is a government nonavailability determination on record?: Contractor remediation state does not relax the restriction; only a determination under DFARS 225.7018-4 does.</w:t>
      </w:r>
    </w:p>
    <w:p>
      <w:pPr>
        <w:pStyle w:val="Heading1"/>
      </w:pPr>
      <w:r>
        <w:t xml:space="preserve">Immediate containment</w:t>
      </w:r>
    </w:p>
    <w:p>
      <w:r>
        <w:t xml:space="preserve">Qualify Granite N48SH-equivalent magnet</w:t>
      </w:r>
    </w:p>
    <w:p>
      <w:pPr>
        <w:pStyle w:val="Heading1"/>
      </w:pPr>
      <w:r>
        <w:t xml:space="preserve">Alternative-source qualification</w:t>
      </w:r>
    </w:p>
    <w:p>
      <w:r>
        <w:rPr>
          <w:b/>
          <w:bCs/>
        </w:rPr>
        <w:t xml:space="preserve">Current finding remains restricted while qualification is in progress.</w:t>
      </w:r>
    </w:p>
    <w:p>
      <w:pPr>
        <w:pStyle w:val="ListParagraph"/>
        <w:numPr>
          <w:ilvl w:val="0"/>
          <w:numId w:val="1"/>
        </w:numPr>
      </w:pPr>
      <w:r>
        <w:t xml:space="preserve">✓ Candidate identified — Supply Chain — 2026-07-08 — complete</w:t>
      </w:r>
    </w:p>
    <w:p>
      <w:pPr>
        <w:pStyle w:val="ListParagraph"/>
        <w:numPr>
          <w:ilvl w:val="0"/>
          <w:numId w:val="1"/>
        </w:numPr>
      </w:pPr>
      <w:r>
        <w:t xml:space="preserve">✓ Commercial data requested — Procurement — 2026-07-22 — complete</w:t>
      </w:r>
    </w:p>
    <w:p>
      <w:pPr>
        <w:pStyle w:val="ListParagraph"/>
        <w:numPr>
          <w:ilvl w:val="0"/>
          <w:numId w:val="1"/>
        </w:numPr>
      </w:pPr>
      <w:r>
        <w:t xml:space="preserve">○ Technical equivalence review — Priya Nair — 2026-08-18 — in progress</w:t>
      </w:r>
    </w:p>
    <w:p>
      <w:pPr>
        <w:pStyle w:val="ListParagraph"/>
        <w:numPr>
          <w:ilvl w:val="0"/>
          <w:numId w:val="1"/>
        </w:numPr>
      </w:pPr>
      <w:r>
        <w:t xml:space="preserve">○ Sample procurement — Procurement — 2026-09-04 — blocked</w:t>
      </w:r>
    </w:p>
    <w:p>
      <w:pPr>
        <w:pStyle w:val="ListParagraph"/>
        <w:numPr>
          <w:ilvl w:val="0"/>
          <w:numId w:val="1"/>
        </w:numPr>
      </w:pPr>
      <w:r>
        <w:t xml:space="preserve">○ Material testing — Materials Lab — 2026-10-12 — not started</w:t>
      </w:r>
    </w:p>
    <w:p>
      <w:pPr>
        <w:pStyle w:val="ListParagraph"/>
        <w:numPr>
          <w:ilvl w:val="0"/>
          <w:numId w:val="1"/>
        </w:numPr>
      </w:pPr>
      <w:r>
        <w:t xml:space="preserve">○ System integration test — Actuator Engineering — 2027-01-15 — not started</w:t>
      </w:r>
    </w:p>
    <w:p>
      <w:pPr>
        <w:pStyle w:val="ListParagraph"/>
        <w:numPr>
          <w:ilvl w:val="0"/>
          <w:numId w:val="1"/>
        </w:numPr>
      </w:pPr>
      <w:r>
        <w:t xml:space="preserve">○ Supplier quality approval — Supplier Quality — 2027-02-12 — not started</w:t>
      </w:r>
    </w:p>
    <w:p>
      <w:pPr>
        <w:pStyle w:val="ListParagraph"/>
        <w:numPr>
          <w:ilvl w:val="0"/>
          <w:numId w:val="1"/>
        </w:numPr>
      </w:pPr>
      <w:r>
        <w:t xml:space="preserve">○ Program approval and production release — Configuration Control Board — 2027-03-31 — not started</w:t>
      </w:r>
    </w:p>
    <w:p>
      <w:pPr>
        <w:pStyle w:val="Heading1"/>
      </w:pPr>
      <w:r>
        <w:t xml:space="preserve">Unknowns and residual risk</w:t>
      </w:r>
    </w:p>
    <w:p>
      <w:r>
        <w:t xml:space="preserve">Cost, schedule, and lead times are synthetic planning estimates.
Available production capacity remains unverified.
Qualification does not clear the current restricted finding.</w:t>
      </w:r>
    </w:p>
    <w:p>
      <w:pPr>
        <w:pStyle w:val="Heading1"/>
      </w:pPr>
      <w:r>
        <w:t xml:space="preserve">Lineage</w:t>
      </w:r>
    </w:p>
    <w:p>
      <w:r>
        <w:t xml:space="preserve">Finding finding_magnet_2027_restriction; claims claim_bom_magnet, claim_final_japan, claim_alloying_japan, claim_powder_japan, claim_pressing_japan, claim_magnetization_japan, claim_separation_china, claim_refining_china; evidence ev_bom, ev_pacific_origin, ev_long_river; snapshot snapshot_mx12_20260727_001.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Synthetic MX-12 Corrective Action Plan</dc:title>
  <dc:subject>snapshot_mx12_20260727_001</dc:subject>
  <dc:creator>Critical Materials Portal — Synthetic</dc:creator>
  <cp:lastModifiedBy>Un-named</cp:lastModifiedBy>
  <cp:revision>1</cp:revision>
  <dcterms:created xsi:type="dcterms:W3CDTF">2026-07-31T00:43:41.902Z</dcterms:created>
  <dcterms:modified xsi:type="dcterms:W3CDTF">2026-07-31T00:43:41.902Z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